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B6" w:rsidRDefault="005F5C24" w:rsidP="00EE73B6">
      <w:pPr>
        <w:jc w:val="center"/>
        <w:rPr>
          <w:b/>
          <w:bCs/>
          <w:sz w:val="32"/>
          <w:szCs w:val="32"/>
        </w:rPr>
      </w:pPr>
      <w:r>
        <w:rPr>
          <w:rFonts w:hint="eastAsia"/>
          <w:b/>
          <w:bCs/>
          <w:sz w:val="32"/>
          <w:szCs w:val="32"/>
        </w:rPr>
        <w:t>拍卖告知书</w:t>
      </w:r>
    </w:p>
    <w:p w:rsidR="00EE73B6" w:rsidRDefault="00EE73B6" w:rsidP="00DF2D2C">
      <w:pPr>
        <w:spacing w:line="432" w:lineRule="auto"/>
        <w:ind w:firstLineChars="200" w:firstLine="420"/>
      </w:pPr>
    </w:p>
    <w:p w:rsidR="00D27332" w:rsidRPr="00D27332" w:rsidRDefault="00D27332" w:rsidP="00D27332">
      <w:pPr>
        <w:spacing w:line="580" w:lineRule="exact"/>
        <w:ind w:firstLineChars="200" w:firstLine="422"/>
        <w:rPr>
          <w:b/>
        </w:rPr>
      </w:pPr>
      <w:r w:rsidRPr="00D27332">
        <w:rPr>
          <w:rFonts w:hint="eastAsia"/>
          <w:b/>
        </w:rPr>
        <w:t>一、拍卖标的物</w:t>
      </w:r>
    </w:p>
    <w:p w:rsidR="00D27332" w:rsidRPr="00D27332" w:rsidRDefault="00D27332" w:rsidP="00D27332">
      <w:pPr>
        <w:spacing w:line="580" w:lineRule="exact"/>
        <w:ind w:firstLineChars="200" w:firstLine="420"/>
      </w:pPr>
      <w:r w:rsidRPr="00D27332">
        <w:rPr>
          <w:rFonts w:hint="eastAsia"/>
        </w:rPr>
        <w:t>拍卖标的物为</w:t>
      </w:r>
      <w:r w:rsidRPr="00D27332">
        <w:rPr>
          <w:rFonts w:hint="eastAsia"/>
        </w:rPr>
        <w:t>190</w:t>
      </w:r>
      <w:r w:rsidRPr="00D27332">
        <w:rPr>
          <w:rFonts w:hint="eastAsia"/>
        </w:rPr>
        <w:t>辆公交车废旧动力蓄电池（不包含高压电系统连接电线），具体信息如下：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5"/>
        <w:gridCol w:w="969"/>
        <w:gridCol w:w="777"/>
        <w:gridCol w:w="750"/>
        <w:gridCol w:w="735"/>
        <w:gridCol w:w="585"/>
        <w:gridCol w:w="630"/>
        <w:gridCol w:w="1540"/>
        <w:gridCol w:w="1559"/>
      </w:tblGrid>
      <w:tr w:rsidR="00D27332" w:rsidRPr="00D27332" w:rsidTr="007C60F3">
        <w:trPr>
          <w:trHeight w:val="1244"/>
        </w:trPr>
        <w:tc>
          <w:tcPr>
            <w:tcW w:w="975" w:type="dxa"/>
            <w:noWrap/>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标的物名称</w:t>
            </w:r>
          </w:p>
        </w:tc>
        <w:tc>
          <w:tcPr>
            <w:tcW w:w="969" w:type="dxa"/>
            <w:noWrap/>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车辆品牌型号</w:t>
            </w:r>
          </w:p>
        </w:tc>
        <w:tc>
          <w:tcPr>
            <w:tcW w:w="777" w:type="dxa"/>
            <w:noWrap/>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电池</w:t>
            </w:r>
          </w:p>
          <w:p w:rsidR="00D27332" w:rsidRPr="00D27332" w:rsidRDefault="00D27332" w:rsidP="007C60F3">
            <w:pPr>
              <w:spacing w:line="240" w:lineRule="atLeast"/>
              <w:jc w:val="center"/>
              <w:textAlignment w:val="center"/>
            </w:pPr>
            <w:r w:rsidRPr="00D27332">
              <w:rPr>
                <w:rFonts w:hint="eastAsia"/>
              </w:rPr>
              <w:t>品牌</w:t>
            </w:r>
          </w:p>
        </w:tc>
        <w:tc>
          <w:tcPr>
            <w:tcW w:w="750"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电池</w:t>
            </w:r>
          </w:p>
          <w:p w:rsidR="00D27332" w:rsidRPr="00D27332" w:rsidRDefault="00D27332" w:rsidP="007C60F3">
            <w:pPr>
              <w:spacing w:line="240" w:lineRule="atLeast"/>
              <w:jc w:val="center"/>
              <w:textAlignment w:val="center"/>
            </w:pPr>
            <w:r w:rsidRPr="00D27332">
              <w:rPr>
                <w:rFonts w:hint="eastAsia"/>
              </w:rPr>
              <w:t>类型</w:t>
            </w:r>
          </w:p>
        </w:tc>
        <w:tc>
          <w:tcPr>
            <w:tcW w:w="735"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车辆数</w:t>
            </w:r>
          </w:p>
          <w:p w:rsidR="00D27332" w:rsidRPr="00D27332" w:rsidRDefault="00D27332" w:rsidP="007C60F3">
            <w:pPr>
              <w:spacing w:line="240" w:lineRule="atLeast"/>
              <w:jc w:val="center"/>
              <w:textAlignment w:val="center"/>
            </w:pPr>
            <w:r w:rsidRPr="00D27332">
              <w:rPr>
                <w:rFonts w:hint="eastAsia"/>
              </w:rPr>
              <w:t>（辆）</w:t>
            </w:r>
          </w:p>
        </w:tc>
        <w:tc>
          <w:tcPr>
            <w:tcW w:w="585"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额定电压</w:t>
            </w:r>
          </w:p>
          <w:p w:rsidR="00D27332" w:rsidRPr="00D27332" w:rsidRDefault="00D27332" w:rsidP="007C60F3">
            <w:pPr>
              <w:spacing w:line="240" w:lineRule="atLeast"/>
              <w:jc w:val="center"/>
              <w:textAlignment w:val="center"/>
            </w:pPr>
            <w:r w:rsidRPr="00D27332">
              <w:rPr>
                <w:rFonts w:hint="eastAsia"/>
              </w:rPr>
              <w:t>（</w:t>
            </w:r>
            <w:r w:rsidRPr="00D27332">
              <w:rPr>
                <w:rFonts w:hint="eastAsia"/>
              </w:rPr>
              <w:t>V</w:t>
            </w:r>
            <w:r w:rsidRPr="00D27332">
              <w:rPr>
                <w:rFonts w:hint="eastAsia"/>
              </w:rPr>
              <w:t>）</w:t>
            </w:r>
          </w:p>
        </w:tc>
        <w:tc>
          <w:tcPr>
            <w:tcW w:w="630"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电池标称容量</w:t>
            </w:r>
            <w:r w:rsidRPr="00D27332">
              <w:rPr>
                <w:rFonts w:hint="eastAsia"/>
              </w:rPr>
              <w:t>(Ah)</w:t>
            </w:r>
          </w:p>
        </w:tc>
        <w:tc>
          <w:tcPr>
            <w:tcW w:w="1540"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动力蓄电池组</w:t>
            </w:r>
            <w:proofErr w:type="gramStart"/>
            <w:r w:rsidRPr="00D27332">
              <w:rPr>
                <w:rFonts w:hint="eastAsia"/>
              </w:rPr>
              <w:t>标称总</w:t>
            </w:r>
            <w:proofErr w:type="gramEnd"/>
            <w:r w:rsidRPr="00D27332">
              <w:rPr>
                <w:rFonts w:hint="eastAsia"/>
              </w:rPr>
              <w:t>电（能）量</w:t>
            </w:r>
          </w:p>
          <w:p w:rsidR="00D27332" w:rsidRPr="00D27332" w:rsidRDefault="00D27332" w:rsidP="007C60F3">
            <w:pPr>
              <w:spacing w:line="240" w:lineRule="atLeast"/>
              <w:jc w:val="center"/>
              <w:textAlignment w:val="center"/>
            </w:pPr>
            <w:r w:rsidRPr="00D27332">
              <w:rPr>
                <w:rFonts w:hint="eastAsia"/>
              </w:rPr>
              <w:t>（</w:t>
            </w:r>
            <w:r w:rsidRPr="00D27332">
              <w:rPr>
                <w:rFonts w:hint="eastAsia"/>
              </w:rPr>
              <w:t>kw</w:t>
            </w:r>
            <w:r w:rsidRPr="00D27332">
              <w:rPr>
                <w:rFonts w:hint="eastAsia"/>
              </w:rPr>
              <w:t>·</w:t>
            </w:r>
            <w:r w:rsidRPr="00D27332">
              <w:rPr>
                <w:rFonts w:hint="eastAsia"/>
              </w:rPr>
              <w:t>h/</w:t>
            </w:r>
            <w:r w:rsidRPr="00D27332">
              <w:rPr>
                <w:rFonts w:hint="eastAsia"/>
              </w:rPr>
              <w:t>辆）</w:t>
            </w:r>
          </w:p>
        </w:tc>
        <w:tc>
          <w:tcPr>
            <w:tcW w:w="1559"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标的物</w:t>
            </w:r>
            <w:proofErr w:type="gramStart"/>
            <w:r w:rsidRPr="00D27332">
              <w:rPr>
                <w:rFonts w:hint="eastAsia"/>
              </w:rPr>
              <w:t>标称总</w:t>
            </w:r>
            <w:proofErr w:type="gramEnd"/>
            <w:r w:rsidRPr="00D27332">
              <w:rPr>
                <w:rFonts w:hint="eastAsia"/>
              </w:rPr>
              <w:t>电（能）量</w:t>
            </w:r>
            <w:r w:rsidRPr="00D27332">
              <w:rPr>
                <w:rFonts w:hint="eastAsia"/>
              </w:rPr>
              <w:t xml:space="preserve">       </w:t>
            </w:r>
            <w:r w:rsidRPr="00D27332">
              <w:rPr>
                <w:rFonts w:hint="eastAsia"/>
              </w:rPr>
              <w:t>（</w:t>
            </w:r>
            <w:r w:rsidRPr="00D27332">
              <w:rPr>
                <w:rFonts w:hint="eastAsia"/>
              </w:rPr>
              <w:t>kw</w:t>
            </w:r>
            <w:r w:rsidRPr="00D27332">
              <w:rPr>
                <w:rFonts w:hint="eastAsia"/>
              </w:rPr>
              <w:t>·</w:t>
            </w:r>
            <w:r w:rsidRPr="00D27332">
              <w:rPr>
                <w:rFonts w:hint="eastAsia"/>
              </w:rPr>
              <w:t>h</w:t>
            </w:r>
            <w:r w:rsidRPr="00D27332">
              <w:rPr>
                <w:rFonts w:hint="eastAsia"/>
              </w:rPr>
              <w:t>）</w:t>
            </w:r>
          </w:p>
        </w:tc>
      </w:tr>
      <w:tr w:rsidR="00D27332" w:rsidRPr="00D27332" w:rsidTr="007C60F3">
        <w:trPr>
          <w:trHeight w:val="1434"/>
        </w:trPr>
        <w:tc>
          <w:tcPr>
            <w:tcW w:w="975" w:type="dxa"/>
            <w:noWrap/>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190</w:t>
            </w:r>
            <w:r w:rsidRPr="00D27332">
              <w:rPr>
                <w:rFonts w:hint="eastAsia"/>
              </w:rPr>
              <w:t>辆公交车辆废旧动力蓄电池</w:t>
            </w:r>
          </w:p>
        </w:tc>
        <w:tc>
          <w:tcPr>
            <w:tcW w:w="969" w:type="dxa"/>
            <w:noWrap/>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比亚</w:t>
            </w:r>
            <w:proofErr w:type="gramStart"/>
            <w:r w:rsidRPr="00D27332">
              <w:rPr>
                <w:rFonts w:hint="eastAsia"/>
              </w:rPr>
              <w:t>迪</w:t>
            </w:r>
            <w:proofErr w:type="gramEnd"/>
            <w:r w:rsidRPr="00D27332">
              <w:rPr>
                <w:rFonts w:hint="eastAsia"/>
              </w:rPr>
              <w:t>CK6120LGEV2</w:t>
            </w:r>
          </w:p>
        </w:tc>
        <w:tc>
          <w:tcPr>
            <w:tcW w:w="777" w:type="dxa"/>
            <w:noWrap/>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比亚</w:t>
            </w:r>
            <w:proofErr w:type="gramStart"/>
            <w:r w:rsidRPr="00D27332">
              <w:rPr>
                <w:rFonts w:hint="eastAsia"/>
              </w:rPr>
              <w:t>迪</w:t>
            </w:r>
            <w:proofErr w:type="gramEnd"/>
          </w:p>
        </w:tc>
        <w:tc>
          <w:tcPr>
            <w:tcW w:w="750"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磷酸</w:t>
            </w:r>
          </w:p>
          <w:p w:rsidR="00D27332" w:rsidRPr="00D27332" w:rsidRDefault="00D27332" w:rsidP="007C60F3">
            <w:pPr>
              <w:spacing w:line="240" w:lineRule="atLeast"/>
              <w:jc w:val="center"/>
              <w:textAlignment w:val="center"/>
            </w:pPr>
            <w:r w:rsidRPr="00D27332">
              <w:rPr>
                <w:rFonts w:hint="eastAsia"/>
              </w:rPr>
              <w:t>铁锂</w:t>
            </w:r>
          </w:p>
        </w:tc>
        <w:tc>
          <w:tcPr>
            <w:tcW w:w="735"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190</w:t>
            </w:r>
          </w:p>
        </w:tc>
        <w:tc>
          <w:tcPr>
            <w:tcW w:w="585"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540</w:t>
            </w:r>
          </w:p>
        </w:tc>
        <w:tc>
          <w:tcPr>
            <w:tcW w:w="630"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600</w:t>
            </w:r>
          </w:p>
        </w:tc>
        <w:tc>
          <w:tcPr>
            <w:tcW w:w="1540"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324</w:t>
            </w:r>
          </w:p>
        </w:tc>
        <w:tc>
          <w:tcPr>
            <w:tcW w:w="1559" w:type="dxa"/>
            <w:tcMar>
              <w:top w:w="15" w:type="dxa"/>
              <w:left w:w="15" w:type="dxa"/>
              <w:right w:w="15" w:type="dxa"/>
            </w:tcMar>
            <w:vAlign w:val="center"/>
          </w:tcPr>
          <w:p w:rsidR="00D27332" w:rsidRPr="00D27332" w:rsidRDefault="00D27332" w:rsidP="007C60F3">
            <w:pPr>
              <w:spacing w:line="240" w:lineRule="atLeast"/>
              <w:jc w:val="center"/>
              <w:textAlignment w:val="center"/>
            </w:pPr>
            <w:r w:rsidRPr="00D27332">
              <w:rPr>
                <w:rFonts w:hint="eastAsia"/>
              </w:rPr>
              <w:t>61560</w:t>
            </w:r>
          </w:p>
        </w:tc>
      </w:tr>
    </w:tbl>
    <w:p w:rsidR="00D27332" w:rsidRPr="00D27332" w:rsidRDefault="00D27332" w:rsidP="00D27332">
      <w:pPr>
        <w:spacing w:line="580" w:lineRule="exact"/>
      </w:pPr>
      <w:r w:rsidRPr="00D27332">
        <w:rPr>
          <w:rFonts w:hint="eastAsia"/>
        </w:rPr>
        <w:t>说明：</w:t>
      </w:r>
    </w:p>
    <w:p w:rsidR="00D27332" w:rsidRPr="00D27332" w:rsidRDefault="00D27332" w:rsidP="00D27332">
      <w:pPr>
        <w:numPr>
          <w:ilvl w:val="0"/>
          <w:numId w:val="1"/>
        </w:numPr>
        <w:spacing w:line="580" w:lineRule="exact"/>
      </w:pPr>
      <w:r w:rsidRPr="00D27332">
        <w:rPr>
          <w:rFonts w:hint="eastAsia"/>
        </w:rPr>
        <w:t>以上电池容量、总电（能）量均为标称值，非实际检测值。</w:t>
      </w:r>
    </w:p>
    <w:p w:rsidR="00D27332" w:rsidRPr="00D27332" w:rsidRDefault="00D27332" w:rsidP="00D27332">
      <w:pPr>
        <w:pStyle w:val="2"/>
        <w:numPr>
          <w:ilvl w:val="0"/>
          <w:numId w:val="1"/>
        </w:numPr>
        <w:spacing w:line="580" w:lineRule="exact"/>
        <w:ind w:firstLineChars="0"/>
        <w:rPr>
          <w:rFonts w:ascii="Calibri" w:hAnsi="Calibri"/>
          <w:sz w:val="21"/>
          <w:szCs w:val="24"/>
        </w:rPr>
      </w:pPr>
      <w:r w:rsidRPr="00D27332">
        <w:rPr>
          <w:rFonts w:ascii="Calibri" w:hAnsi="Calibri" w:hint="eastAsia"/>
          <w:sz w:val="21"/>
          <w:szCs w:val="24"/>
        </w:rPr>
        <w:t>甲方只负责交付标的物，不保证标的物能够正常使用。</w:t>
      </w:r>
    </w:p>
    <w:p w:rsidR="00D27332" w:rsidRPr="00D27332" w:rsidRDefault="00D27332" w:rsidP="00D27332">
      <w:pPr>
        <w:numPr>
          <w:ilvl w:val="0"/>
          <w:numId w:val="1"/>
        </w:numPr>
        <w:spacing w:line="580" w:lineRule="exact"/>
      </w:pPr>
      <w:r w:rsidRPr="00D27332">
        <w:rPr>
          <w:rFonts w:hint="eastAsia"/>
        </w:rPr>
        <w:t>标的物不含相关补贴，以甲方名义应获取的一切补贴（包括但不限于政府已有文件及本合同签订时未发文件所列补贴、行业补贴等全部补贴）均归甲方所有，后续如有相关补贴，买受方应无条件协助、配合甲方申请补贴。</w:t>
      </w:r>
    </w:p>
    <w:p w:rsidR="00D27332" w:rsidRPr="00D27332" w:rsidRDefault="00D27332" w:rsidP="00D27332">
      <w:pPr>
        <w:adjustRightInd w:val="0"/>
        <w:snapToGrid w:val="0"/>
        <w:spacing w:line="580" w:lineRule="exact"/>
        <w:ind w:left="420"/>
        <w:rPr>
          <w:b/>
        </w:rPr>
      </w:pPr>
      <w:r w:rsidRPr="00D27332">
        <w:rPr>
          <w:rFonts w:hint="eastAsia"/>
          <w:b/>
        </w:rPr>
        <w:t>二、</w:t>
      </w:r>
      <w:r w:rsidR="000764C5">
        <w:rPr>
          <w:rFonts w:hint="eastAsia"/>
          <w:b/>
        </w:rPr>
        <w:t>竞买人</w:t>
      </w:r>
      <w:r w:rsidRPr="00D27332">
        <w:rPr>
          <w:rFonts w:hint="eastAsia"/>
          <w:b/>
        </w:rPr>
        <w:t>入围要求</w:t>
      </w:r>
    </w:p>
    <w:p w:rsidR="00D27332" w:rsidRPr="00D27332" w:rsidRDefault="00D27332" w:rsidP="00D27332">
      <w:pPr>
        <w:adjustRightInd w:val="0"/>
        <w:snapToGrid w:val="0"/>
        <w:spacing w:line="580" w:lineRule="exact"/>
        <w:ind w:left="420"/>
      </w:pPr>
      <w:r w:rsidRPr="00D27332">
        <w:rPr>
          <w:rFonts w:hint="eastAsia"/>
        </w:rPr>
        <w:t>需同时满足如下条件方能入围本次拍卖：</w:t>
      </w:r>
    </w:p>
    <w:p w:rsidR="00D27332" w:rsidRPr="00D27332" w:rsidRDefault="000764C5" w:rsidP="00D27332">
      <w:pPr>
        <w:numPr>
          <w:ilvl w:val="0"/>
          <w:numId w:val="2"/>
        </w:numPr>
        <w:adjustRightInd w:val="0"/>
        <w:snapToGrid w:val="0"/>
        <w:spacing w:line="580" w:lineRule="exact"/>
      </w:pPr>
      <w:r>
        <w:rPr>
          <w:rFonts w:hint="eastAsia"/>
        </w:rPr>
        <w:t>竞买</w:t>
      </w:r>
      <w:r w:rsidR="00D27332" w:rsidRPr="00D27332">
        <w:rPr>
          <w:rFonts w:hint="eastAsia"/>
        </w:rPr>
        <w:t>人必须是在中华人民共和国境内（港、澳、台地区除外）依法注册的独立法人企业或单位，且合法存续不存在被责令停业或者财产被接管和破产状态的情形（提供处于有效期内的营业执照或其他主体资格证书、工商信息查询单及不存在被责令停业或者财产被接管和破产状态的相关承诺函，均加盖公章）。</w:t>
      </w:r>
    </w:p>
    <w:p w:rsidR="00D27332" w:rsidRPr="00D27332" w:rsidRDefault="00D27332" w:rsidP="00D27332">
      <w:pPr>
        <w:numPr>
          <w:ilvl w:val="0"/>
          <w:numId w:val="2"/>
        </w:numPr>
        <w:adjustRightInd w:val="0"/>
        <w:snapToGrid w:val="0"/>
        <w:spacing w:line="580" w:lineRule="exact"/>
      </w:pPr>
      <w:r w:rsidRPr="00D27332">
        <w:rPr>
          <w:rFonts w:hint="eastAsia"/>
        </w:rPr>
        <w:t>具有独立企业法人资格，相互间有控股参股、或有行政直属关系、或法定代表人（负责人）为同一人的两个及两个以上法人单位，不得同时参与本次拍卖；（以提供国家企</w:t>
      </w:r>
      <w:r w:rsidRPr="00D27332">
        <w:rPr>
          <w:rFonts w:hint="eastAsia"/>
        </w:rPr>
        <w:lastRenderedPageBreak/>
        <w:t>业信用信息公示系统（</w:t>
      </w:r>
      <w:r w:rsidRPr="00D27332">
        <w:rPr>
          <w:rFonts w:hint="eastAsia"/>
        </w:rPr>
        <w:t>www.gsxt.gov.cn</w:t>
      </w:r>
      <w:r w:rsidRPr="00D27332">
        <w:rPr>
          <w:rFonts w:hint="eastAsia"/>
        </w:rPr>
        <w:t>）中股东信息的相关备案查询截</w:t>
      </w:r>
      <w:proofErr w:type="gramStart"/>
      <w:r w:rsidRPr="00D27332">
        <w:rPr>
          <w:rFonts w:hint="eastAsia"/>
        </w:rPr>
        <w:t>图情况</w:t>
      </w:r>
      <w:proofErr w:type="gramEnd"/>
      <w:r w:rsidRPr="00D27332">
        <w:rPr>
          <w:rFonts w:hint="eastAsia"/>
        </w:rPr>
        <w:t>打印件或工商部门相关的证明文件，加盖公章）。</w:t>
      </w:r>
    </w:p>
    <w:p w:rsidR="00D27332" w:rsidRPr="00D27332" w:rsidRDefault="000764C5" w:rsidP="00D27332">
      <w:pPr>
        <w:numPr>
          <w:ilvl w:val="0"/>
          <w:numId w:val="2"/>
        </w:numPr>
        <w:adjustRightInd w:val="0"/>
        <w:snapToGrid w:val="0"/>
        <w:spacing w:line="580" w:lineRule="exact"/>
      </w:pPr>
      <w:r>
        <w:rPr>
          <w:rFonts w:hint="eastAsia"/>
        </w:rPr>
        <w:t>竞买</w:t>
      </w:r>
      <w:r w:rsidR="00D27332" w:rsidRPr="00D27332">
        <w:rPr>
          <w:rFonts w:hint="eastAsia"/>
        </w:rPr>
        <w:t>人须具备合法有效的废旧动力蓄电池回收利用或综合利用资质（提供经营许可证件复印件或相关政府部门出具（发布）的证明材料，加盖公章）。</w:t>
      </w:r>
    </w:p>
    <w:p w:rsidR="00D27332" w:rsidRPr="00D27332" w:rsidRDefault="00D27332" w:rsidP="00D27332">
      <w:pPr>
        <w:numPr>
          <w:ilvl w:val="0"/>
          <w:numId w:val="2"/>
        </w:numPr>
        <w:adjustRightInd w:val="0"/>
        <w:snapToGrid w:val="0"/>
        <w:spacing w:line="580" w:lineRule="exact"/>
      </w:pPr>
      <w:r w:rsidRPr="00D27332">
        <w:rPr>
          <w:rFonts w:hint="eastAsia"/>
        </w:rPr>
        <w:t>买受人或买受人委托的第三</w:t>
      </w:r>
      <w:proofErr w:type="gramStart"/>
      <w:r w:rsidRPr="00D27332">
        <w:rPr>
          <w:rFonts w:hint="eastAsia"/>
        </w:rPr>
        <w:t>方运输</w:t>
      </w:r>
      <w:proofErr w:type="gramEnd"/>
      <w:r w:rsidRPr="00D27332">
        <w:rPr>
          <w:rFonts w:hint="eastAsia"/>
        </w:rPr>
        <w:t>单位及运输车辆须具有道路危险货物运输许可资质（提供买受人或买受人委托的第三</w:t>
      </w:r>
      <w:proofErr w:type="gramStart"/>
      <w:r w:rsidRPr="00D27332">
        <w:rPr>
          <w:rFonts w:hint="eastAsia"/>
        </w:rPr>
        <w:t>方运输</w:t>
      </w:r>
      <w:proofErr w:type="gramEnd"/>
      <w:r w:rsidRPr="00D27332">
        <w:rPr>
          <w:rFonts w:hint="eastAsia"/>
        </w:rPr>
        <w:t>单位的道路运输经营许可证及车辆行驶证复印件，买受人委托第三</w:t>
      </w:r>
      <w:proofErr w:type="gramStart"/>
      <w:r w:rsidRPr="00D27332">
        <w:rPr>
          <w:rFonts w:hint="eastAsia"/>
        </w:rPr>
        <w:t>方运输</w:t>
      </w:r>
      <w:proofErr w:type="gramEnd"/>
      <w:r w:rsidRPr="00D27332">
        <w:rPr>
          <w:rFonts w:hint="eastAsia"/>
        </w:rPr>
        <w:t>单位的还需提供相应的委托合同复印件，均加盖公章）。</w:t>
      </w:r>
    </w:p>
    <w:p w:rsidR="00D27332" w:rsidRPr="00D27332" w:rsidRDefault="00D27332" w:rsidP="00D27332">
      <w:pPr>
        <w:numPr>
          <w:ilvl w:val="0"/>
          <w:numId w:val="2"/>
        </w:numPr>
        <w:adjustRightInd w:val="0"/>
        <w:snapToGrid w:val="0"/>
        <w:spacing w:line="580" w:lineRule="exact"/>
      </w:pPr>
      <w:r w:rsidRPr="00D27332">
        <w:rPr>
          <w:rFonts w:hint="eastAsia"/>
        </w:rPr>
        <w:t>本项目不接受联合体投标，不允许转包及分包（提供承诺函，加盖公章）。</w:t>
      </w:r>
    </w:p>
    <w:p w:rsidR="00D27332" w:rsidRPr="00D27332" w:rsidRDefault="00D27332" w:rsidP="00D27332">
      <w:pPr>
        <w:spacing w:line="580" w:lineRule="exact"/>
        <w:ind w:firstLineChars="200" w:firstLine="422"/>
        <w:rPr>
          <w:b/>
        </w:rPr>
      </w:pPr>
      <w:r w:rsidRPr="00D27332">
        <w:rPr>
          <w:rFonts w:hint="eastAsia"/>
          <w:b/>
        </w:rPr>
        <w:t>三、买受人中标原则</w:t>
      </w:r>
    </w:p>
    <w:p w:rsidR="00D27332" w:rsidRPr="00D27332" w:rsidRDefault="00D27332" w:rsidP="00D27332">
      <w:pPr>
        <w:numPr>
          <w:ilvl w:val="0"/>
          <w:numId w:val="3"/>
        </w:numPr>
        <w:spacing w:line="580" w:lineRule="exact"/>
      </w:pPr>
      <w:r w:rsidRPr="00D27332">
        <w:rPr>
          <w:rFonts w:hint="eastAsia"/>
        </w:rPr>
        <w:t>采用拍卖方式公开竞价，以动力蓄电池每</w:t>
      </w:r>
      <w:r w:rsidRPr="00D27332">
        <w:t>kW·h</w:t>
      </w:r>
      <w:r w:rsidRPr="00D27332">
        <w:rPr>
          <w:rFonts w:hint="eastAsia"/>
        </w:rPr>
        <w:t>单价（含税）为基准，在满足拍卖文件实质性要求前提下</w:t>
      </w:r>
      <w:r w:rsidRPr="00D27332">
        <w:rPr>
          <w:rFonts w:hint="eastAsia"/>
        </w:rPr>
        <w:t>,</w:t>
      </w:r>
      <w:r w:rsidRPr="00D27332">
        <w:rPr>
          <w:rFonts w:hint="eastAsia"/>
        </w:rPr>
        <w:t>按照“价高者得”的原则确定本次拍卖买受人。</w:t>
      </w:r>
    </w:p>
    <w:p w:rsidR="00A90DEA" w:rsidRPr="00A90DEA" w:rsidRDefault="00A90DEA" w:rsidP="00A90DEA">
      <w:pPr>
        <w:spacing w:line="580" w:lineRule="exact"/>
        <w:ind w:firstLineChars="200" w:firstLine="422"/>
        <w:rPr>
          <w:b/>
        </w:rPr>
      </w:pPr>
      <w:r>
        <w:rPr>
          <w:rFonts w:hint="eastAsia"/>
          <w:b/>
        </w:rPr>
        <w:t>四</w:t>
      </w:r>
      <w:r w:rsidRPr="00A90DEA">
        <w:rPr>
          <w:rFonts w:hint="eastAsia"/>
          <w:b/>
        </w:rPr>
        <w:t>、货款结算方式</w:t>
      </w:r>
    </w:p>
    <w:p w:rsidR="00A90DEA" w:rsidRPr="00A90DEA" w:rsidRDefault="00A90DEA" w:rsidP="00A90DEA">
      <w:pPr>
        <w:numPr>
          <w:ilvl w:val="0"/>
          <w:numId w:val="4"/>
        </w:numPr>
        <w:snapToGrid w:val="0"/>
        <w:spacing w:line="580" w:lineRule="exact"/>
      </w:pPr>
      <w:r w:rsidRPr="00A90DEA">
        <w:rPr>
          <w:rFonts w:hint="eastAsia"/>
        </w:rPr>
        <w:t>买受人在竞买成功当日起</w:t>
      </w:r>
      <w:r w:rsidRPr="00A90DEA">
        <w:rPr>
          <w:rFonts w:hint="eastAsia"/>
        </w:rPr>
        <w:t>3</w:t>
      </w:r>
      <w:r w:rsidRPr="00A90DEA">
        <w:rPr>
          <w:rFonts w:hint="eastAsia"/>
        </w:rPr>
        <w:t>个工作日内签订《</w:t>
      </w:r>
      <w:r w:rsidRPr="00A90DEA">
        <w:rPr>
          <w:rFonts w:hint="eastAsia"/>
        </w:rPr>
        <w:t>190</w:t>
      </w:r>
      <w:r w:rsidRPr="00A90DEA">
        <w:rPr>
          <w:rFonts w:hint="eastAsia"/>
        </w:rPr>
        <w:t>辆公交车废旧动力蓄电池买卖合同》。买受人自《</w:t>
      </w:r>
      <w:r w:rsidRPr="00A90DEA">
        <w:rPr>
          <w:rFonts w:hint="eastAsia"/>
        </w:rPr>
        <w:t>190</w:t>
      </w:r>
      <w:r w:rsidRPr="00A90DEA">
        <w:rPr>
          <w:rFonts w:hint="eastAsia"/>
        </w:rPr>
        <w:t>辆公交车废旧动力蓄电池买卖合同》生效之日起</w:t>
      </w:r>
      <w:r w:rsidRPr="00A90DEA">
        <w:rPr>
          <w:rFonts w:hint="eastAsia"/>
        </w:rPr>
        <w:t>5</w:t>
      </w:r>
      <w:r w:rsidRPr="00A90DEA">
        <w:rPr>
          <w:rFonts w:hint="eastAsia"/>
        </w:rPr>
        <w:t>个工作日内，通过银行电子转账形式，向委托人指定银行账户一次性支付全额货款。</w:t>
      </w:r>
    </w:p>
    <w:p w:rsidR="00A90DEA" w:rsidRPr="00A90DEA" w:rsidRDefault="00A90DEA" w:rsidP="00A90DEA">
      <w:pPr>
        <w:pStyle w:val="2"/>
        <w:numPr>
          <w:ilvl w:val="0"/>
          <w:numId w:val="4"/>
        </w:numPr>
        <w:spacing w:line="580" w:lineRule="exact"/>
        <w:ind w:firstLineChars="0"/>
        <w:rPr>
          <w:rFonts w:ascii="Calibri" w:hAnsi="Calibri"/>
          <w:sz w:val="21"/>
          <w:szCs w:val="24"/>
        </w:rPr>
      </w:pPr>
      <w:r w:rsidRPr="00A90DEA">
        <w:rPr>
          <w:rFonts w:ascii="Calibri" w:hAnsi="Calibri" w:hint="eastAsia"/>
          <w:sz w:val="21"/>
          <w:szCs w:val="24"/>
        </w:rPr>
        <w:t>委托人指定收款账户信息：</w:t>
      </w:r>
    </w:p>
    <w:p w:rsidR="00A90DEA" w:rsidRPr="00A90DEA" w:rsidRDefault="00A90DEA" w:rsidP="00A90DEA">
      <w:pPr>
        <w:spacing w:line="580" w:lineRule="exact"/>
        <w:ind w:firstLineChars="200" w:firstLine="420"/>
      </w:pPr>
      <w:proofErr w:type="gramStart"/>
      <w:r w:rsidRPr="00A90DEA">
        <w:rPr>
          <w:rFonts w:hint="eastAsia"/>
        </w:rPr>
        <w:t>帐户</w:t>
      </w:r>
      <w:proofErr w:type="gramEnd"/>
      <w:r w:rsidRPr="00A90DEA">
        <w:rPr>
          <w:rFonts w:hint="eastAsia"/>
        </w:rPr>
        <w:t>名：深圳市西部公共汽车有限公司</w:t>
      </w:r>
    </w:p>
    <w:p w:rsidR="00A90DEA" w:rsidRPr="00A90DEA" w:rsidRDefault="00A90DEA" w:rsidP="00A90DEA">
      <w:pPr>
        <w:spacing w:line="580" w:lineRule="exact"/>
        <w:ind w:firstLineChars="200" w:firstLine="420"/>
      </w:pPr>
      <w:r w:rsidRPr="00A90DEA">
        <w:rPr>
          <w:rFonts w:hint="eastAsia"/>
        </w:rPr>
        <w:t>开户行：农业银行宝安支行</w:t>
      </w:r>
    </w:p>
    <w:p w:rsidR="00A90DEA" w:rsidRDefault="00A90DEA" w:rsidP="00A90DEA">
      <w:pPr>
        <w:spacing w:line="580" w:lineRule="exact"/>
        <w:ind w:firstLineChars="200" w:firstLine="420"/>
      </w:pPr>
      <w:r w:rsidRPr="00A90DEA">
        <w:rPr>
          <w:rFonts w:hint="eastAsia"/>
        </w:rPr>
        <w:t>帐</w:t>
      </w:r>
      <w:r w:rsidRPr="00A90DEA">
        <w:rPr>
          <w:rFonts w:hint="eastAsia"/>
        </w:rPr>
        <w:t xml:space="preserve">  </w:t>
      </w:r>
      <w:r w:rsidRPr="00A90DEA">
        <w:rPr>
          <w:rFonts w:hint="eastAsia"/>
        </w:rPr>
        <w:t>号：</w:t>
      </w:r>
      <w:r w:rsidRPr="00A90DEA">
        <w:rPr>
          <w:rFonts w:hint="eastAsia"/>
        </w:rPr>
        <w:t>41019400040021041</w:t>
      </w:r>
    </w:p>
    <w:p w:rsidR="00080203" w:rsidRPr="00080203" w:rsidRDefault="00080203" w:rsidP="00080203">
      <w:pPr>
        <w:spacing w:line="580" w:lineRule="exact"/>
        <w:ind w:firstLineChars="200" w:firstLine="422"/>
        <w:rPr>
          <w:b/>
        </w:rPr>
      </w:pPr>
      <w:r>
        <w:rPr>
          <w:rFonts w:hint="eastAsia"/>
          <w:b/>
        </w:rPr>
        <w:t>五</w:t>
      </w:r>
      <w:r w:rsidRPr="00080203">
        <w:rPr>
          <w:rFonts w:hint="eastAsia"/>
          <w:b/>
        </w:rPr>
        <w:t>、拍卖标的转移</w:t>
      </w:r>
    </w:p>
    <w:p w:rsidR="00080203" w:rsidRPr="00080203" w:rsidRDefault="00080203" w:rsidP="00080203">
      <w:pPr>
        <w:pStyle w:val="2"/>
        <w:numPr>
          <w:ilvl w:val="0"/>
          <w:numId w:val="5"/>
        </w:numPr>
        <w:spacing w:line="580" w:lineRule="exact"/>
        <w:ind w:firstLineChars="0"/>
        <w:rPr>
          <w:rFonts w:ascii="Calibri" w:hAnsi="Calibri"/>
          <w:sz w:val="21"/>
          <w:szCs w:val="24"/>
        </w:rPr>
      </w:pPr>
      <w:r w:rsidRPr="00080203">
        <w:rPr>
          <w:rFonts w:ascii="Calibri" w:hAnsi="Calibri" w:hint="eastAsia"/>
          <w:sz w:val="21"/>
          <w:szCs w:val="24"/>
        </w:rPr>
        <w:t>买受人或买受人委托的第三方单位运输车辆及相关人员进入甲方指定地点拆卸废标的物，应遵守甲方的安全管理制度和防疫管理规定，在场站内文明作业，不得影响甲方正常生产秩序，如因买受人或其委托的第三方单位原因造成人员伤亡或财产损失的，由买受人承担一切经济损失及法律责任。</w:t>
      </w:r>
    </w:p>
    <w:p w:rsidR="00080203" w:rsidRPr="00080203" w:rsidRDefault="00080203" w:rsidP="00080203">
      <w:pPr>
        <w:numPr>
          <w:ilvl w:val="0"/>
          <w:numId w:val="5"/>
        </w:numPr>
        <w:autoSpaceDE w:val="0"/>
        <w:autoSpaceDN w:val="0"/>
        <w:adjustRightInd w:val="0"/>
        <w:snapToGrid w:val="0"/>
        <w:spacing w:line="580" w:lineRule="exact"/>
        <w:jc w:val="left"/>
        <w:outlineLvl w:val="0"/>
      </w:pPr>
      <w:r w:rsidRPr="00080203">
        <w:rPr>
          <w:rFonts w:hint="eastAsia"/>
        </w:rPr>
        <w:lastRenderedPageBreak/>
        <w:t>买受人拆卸标的物作业应符合安全操作规范，不得对甲方车辆造成损坏或对环境造成污染。</w:t>
      </w:r>
    </w:p>
    <w:p w:rsidR="00080203" w:rsidRPr="00080203" w:rsidRDefault="00080203" w:rsidP="00080203">
      <w:pPr>
        <w:numPr>
          <w:ilvl w:val="0"/>
          <w:numId w:val="5"/>
        </w:numPr>
        <w:autoSpaceDE w:val="0"/>
        <w:autoSpaceDN w:val="0"/>
        <w:adjustRightInd w:val="0"/>
        <w:snapToGrid w:val="0"/>
        <w:spacing w:line="580" w:lineRule="exact"/>
        <w:jc w:val="left"/>
        <w:outlineLvl w:val="0"/>
      </w:pPr>
      <w:r w:rsidRPr="00080203">
        <w:rPr>
          <w:rFonts w:hint="eastAsia"/>
        </w:rPr>
        <w:t>买受人须自行承担回收甲方车辆废旧动力蓄电池所产生的租赁费、服务费、运输费、油（电）费、人工费等一切附加费用。</w:t>
      </w:r>
    </w:p>
    <w:p w:rsidR="00080203" w:rsidRPr="00080203" w:rsidRDefault="00080203" w:rsidP="00080203">
      <w:pPr>
        <w:numPr>
          <w:ilvl w:val="0"/>
          <w:numId w:val="5"/>
        </w:numPr>
        <w:autoSpaceDE w:val="0"/>
        <w:autoSpaceDN w:val="0"/>
        <w:adjustRightInd w:val="0"/>
        <w:snapToGrid w:val="0"/>
        <w:spacing w:line="580" w:lineRule="exact"/>
        <w:jc w:val="left"/>
        <w:outlineLvl w:val="0"/>
      </w:pPr>
      <w:r w:rsidRPr="00080203">
        <w:rPr>
          <w:rFonts w:hint="eastAsia"/>
        </w:rPr>
        <w:t>买受人接到甲方书面《废旧动力蓄电池回拆卸通知书》后</w:t>
      </w:r>
      <w:r w:rsidRPr="00080203">
        <w:rPr>
          <w:rFonts w:hint="eastAsia"/>
        </w:rPr>
        <w:t>24</w:t>
      </w:r>
      <w:r w:rsidRPr="00080203">
        <w:rPr>
          <w:rFonts w:hint="eastAsia"/>
        </w:rPr>
        <w:t>小时内安排人员到甲方指定地点进行拆卸作业，</w:t>
      </w:r>
      <w:r w:rsidRPr="00080203">
        <w:rPr>
          <w:rFonts w:hint="eastAsia"/>
        </w:rPr>
        <w:t xml:space="preserve"> </w:t>
      </w:r>
      <w:r w:rsidRPr="00080203">
        <w:rPr>
          <w:rFonts w:hint="eastAsia"/>
        </w:rPr>
        <w:t>要求标的物在</w:t>
      </w:r>
      <w:r w:rsidRPr="00080203">
        <w:rPr>
          <w:rFonts w:hint="eastAsia"/>
        </w:rPr>
        <w:t>10</w:t>
      </w:r>
      <w:r w:rsidRPr="00080203">
        <w:rPr>
          <w:rFonts w:hint="eastAsia"/>
        </w:rPr>
        <w:t>个工作日内全部拆除完成，并负责将废旧动力蓄电池从甲方指定车辆上安全拆卸、包装、运输至买受人贮存地点。</w:t>
      </w:r>
    </w:p>
    <w:p w:rsidR="00080203" w:rsidRPr="00080203" w:rsidRDefault="00080203" w:rsidP="00080203">
      <w:pPr>
        <w:numPr>
          <w:ilvl w:val="0"/>
          <w:numId w:val="5"/>
        </w:numPr>
        <w:autoSpaceDE w:val="0"/>
        <w:autoSpaceDN w:val="0"/>
        <w:adjustRightInd w:val="0"/>
        <w:snapToGrid w:val="0"/>
        <w:spacing w:line="520" w:lineRule="exact"/>
        <w:jc w:val="left"/>
        <w:outlineLvl w:val="0"/>
      </w:pPr>
      <w:r w:rsidRPr="00080203">
        <w:rPr>
          <w:rFonts w:hint="eastAsia"/>
        </w:rPr>
        <w:t>买受人须配合甲方做好移交登记手续（须买受人提供移交手续办理人授权），对废旧动力蓄电池已实施拆卸的，即视为该车辆动力蓄电池已移交给买受人，由买受人承担拆卸、包装、运输、拆解、溯源等过程中引发的经济损失、安全风险及法律责任。</w:t>
      </w:r>
    </w:p>
    <w:p w:rsidR="00080203" w:rsidRPr="00080203" w:rsidRDefault="00080203" w:rsidP="00080203">
      <w:pPr>
        <w:numPr>
          <w:ilvl w:val="0"/>
          <w:numId w:val="5"/>
        </w:numPr>
        <w:autoSpaceDE w:val="0"/>
        <w:autoSpaceDN w:val="0"/>
        <w:adjustRightInd w:val="0"/>
        <w:snapToGrid w:val="0"/>
        <w:spacing w:line="520" w:lineRule="exact"/>
        <w:jc w:val="left"/>
        <w:outlineLvl w:val="0"/>
      </w:pPr>
      <w:r w:rsidRPr="00080203">
        <w:rPr>
          <w:rFonts w:hint="eastAsia"/>
        </w:rPr>
        <w:t>买受人自接收甲方的标的物后</w:t>
      </w:r>
      <w:r w:rsidRPr="00080203">
        <w:rPr>
          <w:rFonts w:hint="eastAsia"/>
        </w:rPr>
        <w:t>90</w:t>
      </w:r>
      <w:r w:rsidRPr="00080203">
        <w:rPr>
          <w:rFonts w:hint="eastAsia"/>
        </w:rPr>
        <w:t>日内向甲方出具电池的梯次利用或再生利用证明。</w:t>
      </w:r>
    </w:p>
    <w:p w:rsidR="008F7138" w:rsidRPr="008F7138" w:rsidRDefault="008F7138" w:rsidP="008F7138">
      <w:pPr>
        <w:spacing w:line="580" w:lineRule="exact"/>
        <w:ind w:left="420"/>
        <w:rPr>
          <w:b/>
        </w:rPr>
      </w:pPr>
      <w:r>
        <w:rPr>
          <w:rFonts w:hint="eastAsia"/>
          <w:b/>
        </w:rPr>
        <w:t>六</w:t>
      </w:r>
      <w:r w:rsidRPr="008F7138">
        <w:rPr>
          <w:rFonts w:hint="eastAsia"/>
          <w:b/>
        </w:rPr>
        <w:t>、重要说明</w:t>
      </w:r>
    </w:p>
    <w:p w:rsidR="008F7138" w:rsidRPr="008F7138" w:rsidRDefault="008F7138" w:rsidP="008F7138">
      <w:pPr>
        <w:numPr>
          <w:ilvl w:val="0"/>
          <w:numId w:val="6"/>
        </w:numPr>
        <w:spacing w:line="580" w:lineRule="exact"/>
      </w:pPr>
      <w:r w:rsidRPr="008F7138">
        <w:rPr>
          <w:rFonts w:hint="eastAsia"/>
        </w:rPr>
        <w:t>参与竞买即认可动力蓄电池所有瑕疵，甲方只负责交付标的物，是否能够正常使用需买受人自行前往现场看样确认，甲方不承担标的物的瑕疵保证。</w:t>
      </w:r>
    </w:p>
    <w:p w:rsidR="00AA3591" w:rsidRDefault="00AA3591" w:rsidP="00DF2D2C">
      <w:pPr>
        <w:spacing w:line="432" w:lineRule="auto"/>
        <w:ind w:firstLineChars="200" w:firstLine="420"/>
      </w:pPr>
      <w:r>
        <w:rPr>
          <w:rFonts w:hint="eastAsia"/>
        </w:rPr>
        <w:t>特此声明。</w:t>
      </w:r>
    </w:p>
    <w:p w:rsidR="00067122" w:rsidRDefault="00067122" w:rsidP="00DF2D2C">
      <w:pPr>
        <w:spacing w:line="432" w:lineRule="auto"/>
        <w:ind w:firstLineChars="2400" w:firstLine="5040"/>
      </w:pPr>
    </w:p>
    <w:p w:rsidR="00AA3591" w:rsidRDefault="00AA3591" w:rsidP="00DF2D2C">
      <w:pPr>
        <w:spacing w:line="432" w:lineRule="auto"/>
        <w:ind w:firstLineChars="2400" w:firstLine="5040"/>
      </w:pPr>
      <w:r>
        <w:rPr>
          <w:rFonts w:hint="eastAsia"/>
        </w:rPr>
        <w:t>深圳市不动产拍卖行有限公司</w:t>
      </w:r>
    </w:p>
    <w:p w:rsidR="00AA3591" w:rsidRDefault="00EE73B6" w:rsidP="00DF2D2C">
      <w:pPr>
        <w:spacing w:line="432" w:lineRule="auto"/>
        <w:ind w:firstLineChars="2600" w:firstLine="5460"/>
      </w:pPr>
      <w:r>
        <w:t>202</w:t>
      </w:r>
      <w:r>
        <w:rPr>
          <w:rFonts w:hint="eastAsia"/>
        </w:rPr>
        <w:t>2</w:t>
      </w:r>
      <w:r w:rsidR="00AA3591">
        <w:rPr>
          <w:rFonts w:hint="eastAsia"/>
        </w:rPr>
        <w:t>年</w:t>
      </w:r>
      <w:r>
        <w:t xml:space="preserve"> </w:t>
      </w:r>
      <w:r>
        <w:rPr>
          <w:rFonts w:hint="eastAsia"/>
        </w:rPr>
        <w:t>8</w:t>
      </w:r>
      <w:r w:rsidR="00AA3591">
        <w:rPr>
          <w:rFonts w:hint="eastAsia"/>
        </w:rPr>
        <w:t>月</w:t>
      </w:r>
      <w:r>
        <w:t xml:space="preserve"> </w:t>
      </w:r>
      <w:r>
        <w:rPr>
          <w:rFonts w:hint="eastAsia"/>
        </w:rPr>
        <w:t>9</w:t>
      </w:r>
      <w:r w:rsidR="00AA3591">
        <w:t xml:space="preserve"> </w:t>
      </w:r>
      <w:r w:rsidR="00AA3591">
        <w:rPr>
          <w:rFonts w:hint="eastAsia"/>
        </w:rPr>
        <w:t>日</w:t>
      </w:r>
    </w:p>
    <w:p w:rsidR="00AA3591" w:rsidRDefault="00AA3591">
      <w:pPr>
        <w:spacing w:line="360" w:lineRule="auto"/>
      </w:pPr>
    </w:p>
    <w:p w:rsidR="00AA3591" w:rsidRDefault="00AA3591">
      <w:pPr>
        <w:spacing w:line="360" w:lineRule="auto"/>
      </w:pPr>
      <w:r>
        <w:rPr>
          <w:rFonts w:hint="eastAsia"/>
        </w:rPr>
        <w:t>已阅读并认可以上内容</w:t>
      </w:r>
      <w:r>
        <w:t>,</w:t>
      </w:r>
      <w:r>
        <w:rPr>
          <w:rFonts w:hint="eastAsia"/>
        </w:rPr>
        <w:t>签字</w:t>
      </w:r>
      <w:r>
        <w:t>/</w:t>
      </w:r>
      <w:r>
        <w:rPr>
          <w:rFonts w:hint="eastAsia"/>
        </w:rPr>
        <w:t>盖章确认</w:t>
      </w:r>
      <w:r>
        <w:t>:</w:t>
      </w:r>
    </w:p>
    <w:sectPr w:rsidR="00AA3591" w:rsidSect="00550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AF1" w:rsidRDefault="003F5AF1" w:rsidP="00DF2D2C">
      <w:r>
        <w:separator/>
      </w:r>
    </w:p>
  </w:endnote>
  <w:endnote w:type="continuationSeparator" w:id="0">
    <w:p w:rsidR="003F5AF1" w:rsidRDefault="003F5AF1" w:rsidP="00DF2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AF1" w:rsidRDefault="003F5AF1" w:rsidP="00DF2D2C">
      <w:r>
        <w:separator/>
      </w:r>
    </w:p>
  </w:footnote>
  <w:footnote w:type="continuationSeparator" w:id="0">
    <w:p w:rsidR="003F5AF1" w:rsidRDefault="003F5AF1" w:rsidP="00DF2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81B438"/>
    <w:multiLevelType w:val="singleLevel"/>
    <w:tmpl w:val="C881B438"/>
    <w:lvl w:ilvl="0">
      <w:start w:val="1"/>
      <w:numFmt w:val="chineseCounting"/>
      <w:suff w:val="nothing"/>
      <w:lvlText w:val="（%1）"/>
      <w:lvlJc w:val="left"/>
      <w:pPr>
        <w:ind w:left="0" w:firstLine="420"/>
      </w:pPr>
      <w:rPr>
        <w:rFonts w:hint="eastAsia"/>
      </w:rPr>
    </w:lvl>
  </w:abstractNum>
  <w:abstractNum w:abstractNumId="1">
    <w:nsid w:val="E2D95D66"/>
    <w:multiLevelType w:val="singleLevel"/>
    <w:tmpl w:val="E2D95D66"/>
    <w:lvl w:ilvl="0">
      <w:start w:val="1"/>
      <w:numFmt w:val="chineseCounting"/>
      <w:suff w:val="nothing"/>
      <w:lvlText w:val="（%1）"/>
      <w:lvlJc w:val="left"/>
      <w:pPr>
        <w:ind w:left="6" w:firstLine="420"/>
      </w:pPr>
      <w:rPr>
        <w:rFonts w:hint="eastAsia"/>
      </w:rPr>
    </w:lvl>
  </w:abstractNum>
  <w:abstractNum w:abstractNumId="2">
    <w:nsid w:val="154FB1F5"/>
    <w:multiLevelType w:val="singleLevel"/>
    <w:tmpl w:val="154FB1F5"/>
    <w:lvl w:ilvl="0">
      <w:start w:val="1"/>
      <w:numFmt w:val="chineseCounting"/>
      <w:suff w:val="nothing"/>
      <w:lvlText w:val="（%1）"/>
      <w:lvlJc w:val="left"/>
      <w:pPr>
        <w:ind w:left="0" w:firstLine="420"/>
      </w:pPr>
      <w:rPr>
        <w:rFonts w:hint="eastAsia"/>
      </w:rPr>
    </w:lvl>
  </w:abstractNum>
  <w:abstractNum w:abstractNumId="3">
    <w:nsid w:val="3FE737C2"/>
    <w:multiLevelType w:val="singleLevel"/>
    <w:tmpl w:val="3FE737C2"/>
    <w:lvl w:ilvl="0">
      <w:start w:val="1"/>
      <w:numFmt w:val="chineseCounting"/>
      <w:suff w:val="nothing"/>
      <w:lvlText w:val="（%1）"/>
      <w:lvlJc w:val="left"/>
      <w:pPr>
        <w:ind w:left="0" w:firstLine="420"/>
      </w:pPr>
      <w:rPr>
        <w:rFonts w:hint="eastAsia"/>
      </w:rPr>
    </w:lvl>
  </w:abstractNum>
  <w:abstractNum w:abstractNumId="4">
    <w:nsid w:val="52B0FC50"/>
    <w:multiLevelType w:val="singleLevel"/>
    <w:tmpl w:val="52B0FC50"/>
    <w:lvl w:ilvl="0">
      <w:start w:val="1"/>
      <w:numFmt w:val="chineseCounting"/>
      <w:suff w:val="nothing"/>
      <w:lvlText w:val="（%1）"/>
      <w:lvlJc w:val="left"/>
      <w:pPr>
        <w:ind w:left="0" w:firstLine="420"/>
      </w:pPr>
      <w:rPr>
        <w:rFonts w:hint="eastAsia"/>
      </w:rPr>
    </w:lvl>
  </w:abstractNum>
  <w:abstractNum w:abstractNumId="5">
    <w:nsid w:val="6FB15C0B"/>
    <w:multiLevelType w:val="singleLevel"/>
    <w:tmpl w:val="6FB15C0B"/>
    <w:lvl w:ilvl="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066E84"/>
    <w:rsid w:val="00067122"/>
    <w:rsid w:val="000764C5"/>
    <w:rsid w:val="00080203"/>
    <w:rsid w:val="000E6576"/>
    <w:rsid w:val="002E7BCB"/>
    <w:rsid w:val="002F34D8"/>
    <w:rsid w:val="002F7716"/>
    <w:rsid w:val="00310073"/>
    <w:rsid w:val="003540C2"/>
    <w:rsid w:val="003D046C"/>
    <w:rsid w:val="003F5AF1"/>
    <w:rsid w:val="004146A0"/>
    <w:rsid w:val="00443C82"/>
    <w:rsid w:val="00443F2A"/>
    <w:rsid w:val="004D0249"/>
    <w:rsid w:val="004E2C84"/>
    <w:rsid w:val="00513B31"/>
    <w:rsid w:val="005237A0"/>
    <w:rsid w:val="005503AB"/>
    <w:rsid w:val="005B7324"/>
    <w:rsid w:val="005F5C24"/>
    <w:rsid w:val="0064255C"/>
    <w:rsid w:val="0069034B"/>
    <w:rsid w:val="006A48F5"/>
    <w:rsid w:val="006E254B"/>
    <w:rsid w:val="006F7A19"/>
    <w:rsid w:val="008E4455"/>
    <w:rsid w:val="008F7138"/>
    <w:rsid w:val="00905748"/>
    <w:rsid w:val="00906DA1"/>
    <w:rsid w:val="009372B0"/>
    <w:rsid w:val="00990E24"/>
    <w:rsid w:val="00992660"/>
    <w:rsid w:val="00A90DEA"/>
    <w:rsid w:val="00AA3591"/>
    <w:rsid w:val="00BB2567"/>
    <w:rsid w:val="00C04007"/>
    <w:rsid w:val="00C41281"/>
    <w:rsid w:val="00C97AE0"/>
    <w:rsid w:val="00D27332"/>
    <w:rsid w:val="00DB6BFF"/>
    <w:rsid w:val="00DF2D2C"/>
    <w:rsid w:val="00E82502"/>
    <w:rsid w:val="00E831A8"/>
    <w:rsid w:val="00ED6531"/>
    <w:rsid w:val="00EE73B6"/>
    <w:rsid w:val="00F8193C"/>
    <w:rsid w:val="00FC5260"/>
    <w:rsid w:val="00FD0D27"/>
    <w:rsid w:val="00FD726E"/>
    <w:rsid w:val="098B6DF4"/>
    <w:rsid w:val="37630DF9"/>
    <w:rsid w:val="54066E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uiPriority="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2D2C"/>
    <w:rPr>
      <w:sz w:val="18"/>
      <w:szCs w:val="18"/>
    </w:rPr>
  </w:style>
  <w:style w:type="paragraph" w:styleId="a4">
    <w:name w:val="footer"/>
    <w:basedOn w:val="a"/>
    <w:link w:val="Char0"/>
    <w:uiPriority w:val="99"/>
    <w:semiHidden/>
    <w:unhideWhenUsed/>
    <w:rsid w:val="00DF2D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2D2C"/>
    <w:rPr>
      <w:sz w:val="18"/>
      <w:szCs w:val="18"/>
    </w:rPr>
  </w:style>
  <w:style w:type="paragraph" w:styleId="a5">
    <w:name w:val="Body Text Indent"/>
    <w:basedOn w:val="a"/>
    <w:link w:val="Char1"/>
    <w:uiPriority w:val="99"/>
    <w:semiHidden/>
    <w:unhideWhenUsed/>
    <w:rsid w:val="00D27332"/>
    <w:pPr>
      <w:spacing w:after="120"/>
      <w:ind w:leftChars="200" w:left="420"/>
    </w:pPr>
  </w:style>
  <w:style w:type="character" w:customStyle="1" w:styleId="Char1">
    <w:name w:val="正文文本缩进 Char"/>
    <w:basedOn w:val="a0"/>
    <w:link w:val="a5"/>
    <w:uiPriority w:val="99"/>
    <w:semiHidden/>
    <w:rsid w:val="00D27332"/>
    <w:rPr>
      <w:kern w:val="2"/>
      <w:sz w:val="21"/>
      <w:szCs w:val="24"/>
    </w:rPr>
  </w:style>
  <w:style w:type="paragraph" w:styleId="2">
    <w:name w:val="Body Text First Indent 2"/>
    <w:basedOn w:val="a5"/>
    <w:link w:val="2Char"/>
    <w:qFormat/>
    <w:rsid w:val="00D27332"/>
    <w:pPr>
      <w:tabs>
        <w:tab w:val="left" w:pos="673"/>
      </w:tabs>
      <w:spacing w:after="0"/>
      <w:ind w:leftChars="0" w:left="0" w:firstLineChars="200" w:firstLine="420"/>
    </w:pPr>
    <w:rPr>
      <w:rFonts w:ascii="宋体" w:hAnsi="宋体"/>
      <w:sz w:val="28"/>
      <w:szCs w:val="20"/>
    </w:rPr>
  </w:style>
  <w:style w:type="character" w:customStyle="1" w:styleId="2Char">
    <w:name w:val="正文首行缩进 2 Char"/>
    <w:basedOn w:val="Char1"/>
    <w:link w:val="2"/>
    <w:rsid w:val="00D27332"/>
    <w:rPr>
      <w:rFonts w:ascii="宋体" w:hAnsi="宋体"/>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266</Words>
  <Characters>1517</Characters>
  <Application>Microsoft Office Word</Application>
  <DocSecurity>0</DocSecurity>
  <Lines>12</Lines>
  <Paragraphs>3</Paragraphs>
  <ScaleCrop>false</ScaleCrop>
  <Company>http://sdwm.org</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A曾锦洲</dc:creator>
  <cp:keywords/>
  <dc:description/>
  <cp:lastModifiedBy>深圳市不动产拍卖行</cp:lastModifiedBy>
  <cp:revision>31</cp:revision>
  <cp:lastPrinted>2019-09-27T08:18:00Z</cp:lastPrinted>
  <dcterms:created xsi:type="dcterms:W3CDTF">2019-09-20T07:45:00Z</dcterms:created>
  <dcterms:modified xsi:type="dcterms:W3CDTF">2022-08-11T04:15:00Z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